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Pr="00691952" w:rsidRDefault="00B921ED">
      <w:pPr>
        <w:widowControl w:val="0"/>
        <w:autoSpaceDE w:val="0"/>
        <w:autoSpaceDN w:val="0"/>
        <w:adjustRightInd w:val="0"/>
        <w:rPr>
          <w:sz w:val="22"/>
          <w:szCs w:val="22"/>
        </w:rPr>
      </w:pPr>
      <w:r w:rsidRPr="00691952">
        <w:rPr>
          <w:b/>
          <w:bCs/>
          <w:sz w:val="22"/>
          <w:szCs w:val="22"/>
        </w:rPr>
        <w:t xml:space="preserve">A STUDY OF THE CONFOUNDING RELATIONSHIP OF FOOD, ALCOHOL, COFFEE AND CIGARETTE CONSUMPTION ON SUBSEQUENT BLOOD PRESSURE READINGS IN AMERICAN POPULATION </w:t>
      </w:r>
    </w:p>
    <w:p w:rsidR="00B921ED" w:rsidRPr="00691952" w:rsidRDefault="00B921ED" w:rsidP="00F86564">
      <w:pPr>
        <w:widowControl w:val="0"/>
        <w:autoSpaceDE w:val="0"/>
        <w:autoSpaceDN w:val="0"/>
        <w:adjustRightInd w:val="0"/>
        <w:rPr>
          <w:b/>
          <w:bCs/>
          <w:sz w:val="22"/>
          <w:szCs w:val="22"/>
          <w:u w:val="single"/>
        </w:rPr>
      </w:pPr>
      <w:r w:rsidRPr="00691952">
        <w:rPr>
          <w:b/>
          <w:bCs/>
          <w:sz w:val="22"/>
          <w:szCs w:val="22"/>
          <w:u w:val="single"/>
        </w:rPr>
        <w:t>R</w:t>
      </w:r>
      <w:r w:rsidR="00F86564" w:rsidRPr="00691952">
        <w:rPr>
          <w:b/>
          <w:bCs/>
          <w:sz w:val="22"/>
          <w:szCs w:val="22"/>
          <w:u w:val="single"/>
        </w:rPr>
        <w:t>.</w:t>
      </w:r>
      <w:r w:rsidRPr="00691952">
        <w:rPr>
          <w:b/>
          <w:bCs/>
          <w:sz w:val="22"/>
          <w:szCs w:val="22"/>
          <w:u w:val="single"/>
        </w:rPr>
        <w:t>U</w:t>
      </w:r>
      <w:r w:rsidR="00F86564" w:rsidRPr="00691952">
        <w:rPr>
          <w:b/>
          <w:bCs/>
          <w:sz w:val="22"/>
          <w:szCs w:val="22"/>
          <w:u w:val="single"/>
        </w:rPr>
        <w:t>.</w:t>
      </w:r>
      <w:r w:rsidRPr="00691952">
        <w:rPr>
          <w:b/>
          <w:bCs/>
          <w:sz w:val="22"/>
          <w:szCs w:val="22"/>
          <w:u w:val="single"/>
        </w:rPr>
        <w:t xml:space="preserve"> </w:t>
      </w:r>
      <w:proofErr w:type="spellStart"/>
      <w:r w:rsidRPr="00691952">
        <w:rPr>
          <w:b/>
          <w:bCs/>
          <w:sz w:val="22"/>
          <w:szCs w:val="22"/>
          <w:u w:val="single"/>
        </w:rPr>
        <w:t>Mian</w:t>
      </w:r>
      <w:proofErr w:type="spellEnd"/>
      <w:r w:rsidRPr="00691952">
        <w:rPr>
          <w:b/>
          <w:bCs/>
          <w:sz w:val="22"/>
          <w:szCs w:val="22"/>
          <w:u w:val="single"/>
        </w:rPr>
        <w:t xml:space="preserve"> </w:t>
      </w:r>
    </w:p>
    <w:p w:rsidR="00B921ED" w:rsidRPr="00691952" w:rsidRDefault="00B921ED" w:rsidP="00F86564">
      <w:pPr>
        <w:widowControl w:val="0"/>
        <w:autoSpaceDE w:val="0"/>
        <w:autoSpaceDN w:val="0"/>
        <w:adjustRightInd w:val="0"/>
        <w:rPr>
          <w:color w:val="503820"/>
          <w:sz w:val="22"/>
          <w:szCs w:val="22"/>
        </w:rPr>
      </w:pPr>
      <w:r w:rsidRPr="00691952">
        <w:rPr>
          <w:color w:val="000000"/>
          <w:sz w:val="22"/>
          <w:szCs w:val="22"/>
        </w:rPr>
        <w:t>The Wright Center for Graduate Medical Education, Scranton, PA</w:t>
      </w:r>
      <w:r w:rsidR="00F86564" w:rsidRPr="00691952">
        <w:rPr>
          <w:color w:val="000000"/>
          <w:sz w:val="22"/>
          <w:szCs w:val="22"/>
        </w:rPr>
        <w:t>, USA</w:t>
      </w:r>
    </w:p>
    <w:p w:rsidR="00B921ED" w:rsidRPr="00691952" w:rsidRDefault="00B921ED">
      <w:pPr>
        <w:widowControl w:val="0"/>
        <w:autoSpaceDE w:val="0"/>
        <w:autoSpaceDN w:val="0"/>
        <w:adjustRightInd w:val="0"/>
        <w:rPr>
          <w:sz w:val="22"/>
          <w:szCs w:val="22"/>
        </w:rPr>
      </w:pPr>
    </w:p>
    <w:p w:rsidR="00F86564" w:rsidRPr="00691952" w:rsidRDefault="00B921ED">
      <w:pPr>
        <w:widowControl w:val="0"/>
        <w:autoSpaceDE w:val="0"/>
        <w:autoSpaceDN w:val="0"/>
        <w:adjustRightInd w:val="0"/>
        <w:jc w:val="both"/>
        <w:rPr>
          <w:sz w:val="22"/>
          <w:szCs w:val="22"/>
        </w:rPr>
      </w:pPr>
      <w:r w:rsidRPr="00691952">
        <w:rPr>
          <w:i/>
          <w:iCs/>
          <w:sz w:val="22"/>
          <w:szCs w:val="22"/>
        </w:rPr>
        <w:t>Introduction</w:t>
      </w:r>
      <w:r w:rsidRPr="00691952">
        <w:rPr>
          <w:sz w:val="22"/>
          <w:szCs w:val="22"/>
        </w:rPr>
        <w:t>:</w:t>
      </w:r>
      <w:r w:rsidR="00F86564" w:rsidRPr="00691952">
        <w:rPr>
          <w:sz w:val="22"/>
          <w:szCs w:val="22"/>
        </w:rPr>
        <w:t xml:space="preserve"> </w:t>
      </w:r>
      <w:r w:rsidRPr="00691952">
        <w:rPr>
          <w:sz w:val="22"/>
          <w:szCs w:val="22"/>
        </w:rPr>
        <w:t xml:space="preserve">Blood pressure readings can be impacted by daily habits. The relationship of food, alcohol, </w:t>
      </w:r>
      <w:r w:rsidR="00F86564" w:rsidRPr="00691952">
        <w:rPr>
          <w:sz w:val="22"/>
          <w:szCs w:val="22"/>
        </w:rPr>
        <w:t>and coffee</w:t>
      </w:r>
      <w:r w:rsidRPr="00691952">
        <w:rPr>
          <w:sz w:val="22"/>
          <w:szCs w:val="22"/>
        </w:rPr>
        <w:t xml:space="preserve"> and cigarette consumption on subsequent blood pressure readings is unclear. </w:t>
      </w:r>
    </w:p>
    <w:p w:rsidR="00F86564" w:rsidRPr="00691952" w:rsidRDefault="00B921ED">
      <w:pPr>
        <w:widowControl w:val="0"/>
        <w:autoSpaceDE w:val="0"/>
        <w:autoSpaceDN w:val="0"/>
        <w:adjustRightInd w:val="0"/>
        <w:jc w:val="both"/>
        <w:rPr>
          <w:sz w:val="22"/>
          <w:szCs w:val="22"/>
        </w:rPr>
      </w:pPr>
      <w:r w:rsidRPr="00691952">
        <w:rPr>
          <w:i/>
          <w:iCs/>
          <w:sz w:val="22"/>
          <w:szCs w:val="22"/>
        </w:rPr>
        <w:t>Methods</w:t>
      </w:r>
      <w:r w:rsidRPr="00691952">
        <w:rPr>
          <w:sz w:val="22"/>
          <w:szCs w:val="22"/>
        </w:rPr>
        <w:t>:</w:t>
      </w:r>
      <w:r w:rsidR="00F86564" w:rsidRPr="00691952">
        <w:rPr>
          <w:sz w:val="22"/>
          <w:szCs w:val="22"/>
        </w:rPr>
        <w:t xml:space="preserve"> </w:t>
      </w:r>
      <w:r w:rsidRPr="00691952">
        <w:rPr>
          <w:sz w:val="22"/>
          <w:szCs w:val="22"/>
        </w:rPr>
        <w:t xml:space="preserve">Data from the 2007-2008 National Health and Nutritional Examination Survey (NHANES) were used. Participants included individuals who responded to blood pressure related standard questionnaire and had systolic blood pressure (SBP) measured subsequently. Questionnaire included inquiry into consumption of food, alcohol, coffee and cigarettes within 30 minutes period prior to blood pressure measurement (N=7,146). Procedures for blood pressure measurement were standardized for NHANES; values were mm Hg.  Multinomial regression analyses examined relationship of food, alcohol, </w:t>
      </w:r>
      <w:proofErr w:type="gramStart"/>
      <w:r w:rsidRPr="00691952">
        <w:rPr>
          <w:sz w:val="22"/>
          <w:szCs w:val="22"/>
        </w:rPr>
        <w:t>coffee</w:t>
      </w:r>
      <w:proofErr w:type="gramEnd"/>
      <w:r w:rsidRPr="00691952">
        <w:rPr>
          <w:sz w:val="22"/>
          <w:szCs w:val="22"/>
        </w:rPr>
        <w:t xml:space="preserve"> and cigarette consumption on blood pressure measurement. Further models were adopted to analyze relationship across gender, age, as well as categorical blood pressure readings.</w:t>
      </w:r>
    </w:p>
    <w:p w:rsidR="00F86564" w:rsidRPr="00691952" w:rsidRDefault="00B921ED">
      <w:pPr>
        <w:widowControl w:val="0"/>
        <w:autoSpaceDE w:val="0"/>
        <w:autoSpaceDN w:val="0"/>
        <w:adjustRightInd w:val="0"/>
        <w:jc w:val="both"/>
        <w:rPr>
          <w:sz w:val="22"/>
          <w:szCs w:val="22"/>
        </w:rPr>
      </w:pPr>
      <w:r w:rsidRPr="00691952">
        <w:rPr>
          <w:i/>
          <w:iCs/>
          <w:sz w:val="22"/>
          <w:szCs w:val="22"/>
        </w:rPr>
        <w:t>Results</w:t>
      </w:r>
      <w:r w:rsidRPr="00691952">
        <w:rPr>
          <w:sz w:val="22"/>
          <w:szCs w:val="22"/>
        </w:rPr>
        <w:t>:</w:t>
      </w:r>
      <w:r w:rsidR="00F86564" w:rsidRPr="00691952">
        <w:rPr>
          <w:sz w:val="22"/>
          <w:szCs w:val="22"/>
        </w:rPr>
        <w:t xml:space="preserve"> </w:t>
      </w:r>
      <w:r w:rsidRPr="00691952">
        <w:rPr>
          <w:sz w:val="22"/>
          <w:szCs w:val="22"/>
        </w:rPr>
        <w:t>Unadjusted analyses revealed that food intake in the proceeding 30 minutes was associated with elevated risk of increased blood pressure measurement (OR=1.18, P &lt;0.01), while alcohol consumption and cigarette smoking were associated with reduced risk (OR=0.09, P=0.01</w:t>
      </w:r>
      <w:proofErr w:type="gramStart"/>
      <w:r w:rsidRPr="00691952">
        <w:rPr>
          <w:sz w:val="22"/>
          <w:szCs w:val="22"/>
        </w:rPr>
        <w:t>)(</w:t>
      </w:r>
      <w:proofErr w:type="gramEnd"/>
      <w:r w:rsidRPr="00691952">
        <w:rPr>
          <w:sz w:val="22"/>
          <w:szCs w:val="22"/>
        </w:rPr>
        <w:t>OR=0.53, P&lt;0.01). Subset analysis revealed that this relationship was more at higher levels of SBPs than lower.  The relationship for coffee intake was not statistically significant (OR=0.72 P=0.19).  Similar relationship was seen in our model for categorical blood pressure readings. In adjusted analyses for gender and age, significant relationship persisted in all models for cigarette use.</w:t>
      </w:r>
    </w:p>
    <w:p w:rsidR="00B921ED" w:rsidRPr="00691952" w:rsidRDefault="00B921ED">
      <w:pPr>
        <w:widowControl w:val="0"/>
        <w:autoSpaceDE w:val="0"/>
        <w:autoSpaceDN w:val="0"/>
        <w:adjustRightInd w:val="0"/>
        <w:jc w:val="both"/>
        <w:rPr>
          <w:sz w:val="22"/>
          <w:szCs w:val="22"/>
        </w:rPr>
      </w:pPr>
      <w:r w:rsidRPr="00691952">
        <w:rPr>
          <w:i/>
          <w:iCs/>
          <w:sz w:val="22"/>
          <w:szCs w:val="22"/>
        </w:rPr>
        <w:t>Conclusion</w:t>
      </w:r>
      <w:r w:rsidRPr="00691952">
        <w:rPr>
          <w:sz w:val="22"/>
          <w:szCs w:val="22"/>
        </w:rPr>
        <w:t>:</w:t>
      </w:r>
      <w:r w:rsidR="00F86564" w:rsidRPr="00691952">
        <w:rPr>
          <w:sz w:val="22"/>
          <w:szCs w:val="22"/>
        </w:rPr>
        <w:t xml:space="preserve"> </w:t>
      </w:r>
      <w:r w:rsidRPr="00691952">
        <w:rPr>
          <w:sz w:val="22"/>
          <w:szCs w:val="22"/>
        </w:rPr>
        <w:t>Blood pressure readings may be confounded by food, alcohol, and smoking cigarettes prior to measurements.</w:t>
      </w:r>
    </w:p>
    <w:p w:rsidR="00691952" w:rsidRPr="00691952" w:rsidRDefault="00691952">
      <w:pPr>
        <w:widowControl w:val="0"/>
        <w:autoSpaceDE w:val="0"/>
        <w:autoSpaceDN w:val="0"/>
        <w:adjustRightInd w:val="0"/>
        <w:jc w:val="both"/>
        <w:rPr>
          <w:sz w:val="16"/>
          <w:szCs w:val="16"/>
        </w:rPr>
      </w:pPr>
    </w:p>
    <w:p w:rsidR="00691952" w:rsidRPr="00691952" w:rsidRDefault="00691952" w:rsidP="00691952">
      <w:pPr>
        <w:rPr>
          <w:sz w:val="18"/>
          <w:szCs w:val="18"/>
        </w:rPr>
      </w:pPr>
      <w:r w:rsidRPr="00691952">
        <w:rPr>
          <w:sz w:val="18"/>
          <w:szCs w:val="18"/>
        </w:rPr>
        <w:t>Table 2. Unadjusted and adjusted odds ratio and 95% confidence intervals of association between blood pressure and food, alcohol, coffee and cigarette use</w:t>
      </w:r>
    </w:p>
    <w:tbl>
      <w:tblPr>
        <w:tblStyle w:val="TableGrid"/>
        <w:tblW w:w="0" w:type="auto"/>
        <w:tblBorders>
          <w:bottom w:val="none" w:sz="0" w:space="0" w:color="auto"/>
        </w:tblBorders>
        <w:tblLook w:val="04A0" w:firstRow="1" w:lastRow="0" w:firstColumn="1" w:lastColumn="0" w:noHBand="0" w:noVBand="1"/>
      </w:tblPr>
      <w:tblGrid>
        <w:gridCol w:w="992"/>
        <w:gridCol w:w="847"/>
        <w:gridCol w:w="655"/>
        <w:gridCol w:w="949"/>
        <w:gridCol w:w="654"/>
        <w:gridCol w:w="846"/>
        <w:gridCol w:w="654"/>
        <w:gridCol w:w="846"/>
        <w:gridCol w:w="654"/>
        <w:gridCol w:w="889"/>
        <w:gridCol w:w="654"/>
      </w:tblGrid>
      <w:tr w:rsidR="00691952" w:rsidRPr="00691952" w:rsidTr="005332B7">
        <w:tc>
          <w:tcPr>
            <w:tcW w:w="1122" w:type="dxa"/>
            <w:vMerge w:val="restart"/>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p>
        </w:tc>
        <w:tc>
          <w:tcPr>
            <w:tcW w:w="1459"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Continuous Blood pressure</w:t>
            </w:r>
          </w:p>
        </w:tc>
        <w:tc>
          <w:tcPr>
            <w:tcW w:w="6605" w:type="dxa"/>
            <w:gridSpan w:val="8"/>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Categorical blood pressure</w:t>
            </w:r>
          </w:p>
        </w:tc>
      </w:tr>
      <w:tr w:rsidR="00691952" w:rsidRPr="00691952" w:rsidTr="005332B7">
        <w:tc>
          <w:tcPr>
            <w:tcW w:w="1122" w:type="dxa"/>
            <w:vMerge/>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p>
        </w:tc>
        <w:tc>
          <w:tcPr>
            <w:tcW w:w="1459"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Unadjusted Model</w:t>
            </w:r>
          </w:p>
        </w:tc>
        <w:tc>
          <w:tcPr>
            <w:tcW w:w="1963"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Unadjusted Model</w:t>
            </w:r>
          </w:p>
        </w:tc>
        <w:tc>
          <w:tcPr>
            <w:tcW w:w="1457"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Adjusted Model</w:t>
            </w:r>
            <w:r w:rsidRPr="00691952">
              <w:rPr>
                <w:rFonts w:ascii="Times New Roman" w:hAnsi="Times New Roman" w:cs="Times New Roman"/>
                <w:sz w:val="18"/>
                <w:szCs w:val="18"/>
                <w:vertAlign w:val="superscript"/>
              </w:rPr>
              <w:t>1</w:t>
            </w:r>
          </w:p>
        </w:tc>
        <w:tc>
          <w:tcPr>
            <w:tcW w:w="1457"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Adjusted Model</w:t>
            </w:r>
            <w:r w:rsidRPr="00691952">
              <w:rPr>
                <w:rFonts w:ascii="Times New Roman" w:hAnsi="Times New Roman" w:cs="Times New Roman"/>
                <w:sz w:val="18"/>
                <w:szCs w:val="18"/>
                <w:vertAlign w:val="superscript"/>
              </w:rPr>
              <w:t>2</w:t>
            </w:r>
          </w:p>
        </w:tc>
        <w:tc>
          <w:tcPr>
            <w:tcW w:w="1728" w:type="dxa"/>
            <w:gridSpan w:val="2"/>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Adjusted Model</w:t>
            </w:r>
            <w:r w:rsidRPr="00691952">
              <w:rPr>
                <w:rFonts w:ascii="Times New Roman" w:hAnsi="Times New Roman" w:cs="Times New Roman"/>
                <w:sz w:val="18"/>
                <w:szCs w:val="18"/>
                <w:vertAlign w:val="superscript"/>
              </w:rPr>
              <w:t>3</w:t>
            </w:r>
          </w:p>
        </w:tc>
      </w:tr>
      <w:tr w:rsidR="00691952" w:rsidRPr="00691952" w:rsidTr="005332B7">
        <w:tc>
          <w:tcPr>
            <w:tcW w:w="1122" w:type="dxa"/>
            <w:vMerge/>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p>
        </w:tc>
        <w:tc>
          <w:tcPr>
            <w:tcW w:w="741"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OR (95%CI)</w:t>
            </w:r>
          </w:p>
        </w:tc>
        <w:tc>
          <w:tcPr>
            <w:tcW w:w="718"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i/>
                <w:sz w:val="18"/>
                <w:szCs w:val="18"/>
              </w:rPr>
              <w:t>P</w:t>
            </w:r>
            <w:r w:rsidRPr="00691952">
              <w:rPr>
                <w:rFonts w:ascii="Times New Roman" w:hAnsi="Times New Roman" w:cs="Times New Roman"/>
                <w:sz w:val="18"/>
                <w:szCs w:val="18"/>
              </w:rPr>
              <w:t xml:space="preserve"> value</w:t>
            </w:r>
          </w:p>
        </w:tc>
        <w:tc>
          <w:tcPr>
            <w:tcW w:w="1247"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OR (95%CI)</w:t>
            </w:r>
          </w:p>
        </w:tc>
        <w:tc>
          <w:tcPr>
            <w:tcW w:w="716"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i/>
                <w:sz w:val="18"/>
                <w:szCs w:val="18"/>
              </w:rPr>
              <w:t>P</w:t>
            </w:r>
            <w:r w:rsidRPr="00691952">
              <w:rPr>
                <w:rFonts w:ascii="Times New Roman" w:hAnsi="Times New Roman" w:cs="Times New Roman"/>
                <w:sz w:val="18"/>
                <w:szCs w:val="18"/>
              </w:rPr>
              <w:t xml:space="preserve"> value</w:t>
            </w:r>
          </w:p>
        </w:tc>
        <w:tc>
          <w:tcPr>
            <w:tcW w:w="741"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OR (95%CI)</w:t>
            </w:r>
          </w:p>
        </w:tc>
        <w:tc>
          <w:tcPr>
            <w:tcW w:w="716"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i/>
                <w:sz w:val="18"/>
                <w:szCs w:val="18"/>
              </w:rPr>
              <w:t>P</w:t>
            </w:r>
            <w:r w:rsidRPr="00691952">
              <w:rPr>
                <w:rFonts w:ascii="Times New Roman" w:hAnsi="Times New Roman" w:cs="Times New Roman"/>
                <w:sz w:val="18"/>
                <w:szCs w:val="18"/>
              </w:rPr>
              <w:t xml:space="preserve"> value</w:t>
            </w:r>
          </w:p>
        </w:tc>
        <w:tc>
          <w:tcPr>
            <w:tcW w:w="741"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OR (95%CI)</w:t>
            </w:r>
          </w:p>
        </w:tc>
        <w:tc>
          <w:tcPr>
            <w:tcW w:w="716"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i/>
                <w:sz w:val="18"/>
                <w:szCs w:val="18"/>
              </w:rPr>
              <w:t>P</w:t>
            </w:r>
            <w:r w:rsidRPr="00691952">
              <w:rPr>
                <w:rFonts w:ascii="Times New Roman" w:hAnsi="Times New Roman" w:cs="Times New Roman"/>
                <w:sz w:val="18"/>
                <w:szCs w:val="18"/>
              </w:rPr>
              <w:t xml:space="preserve"> value</w:t>
            </w:r>
          </w:p>
        </w:tc>
        <w:tc>
          <w:tcPr>
            <w:tcW w:w="1012"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OR (95%CI)</w:t>
            </w:r>
          </w:p>
        </w:tc>
        <w:tc>
          <w:tcPr>
            <w:tcW w:w="716" w:type="dxa"/>
            <w:tcBorders>
              <w:top w:val="single" w:sz="4" w:space="0" w:color="auto"/>
              <w:left w:val="nil"/>
              <w:bottom w:val="single" w:sz="4" w:space="0" w:color="auto"/>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i/>
                <w:sz w:val="18"/>
                <w:szCs w:val="18"/>
              </w:rPr>
              <w:t>P</w:t>
            </w:r>
            <w:r w:rsidRPr="00691952">
              <w:rPr>
                <w:rFonts w:ascii="Times New Roman" w:hAnsi="Times New Roman" w:cs="Times New Roman"/>
                <w:sz w:val="18"/>
                <w:szCs w:val="18"/>
              </w:rPr>
              <w:t xml:space="preserve"> value</w:t>
            </w:r>
          </w:p>
        </w:tc>
      </w:tr>
      <w:tr w:rsidR="00691952" w:rsidRPr="00691952" w:rsidTr="005332B7">
        <w:tc>
          <w:tcPr>
            <w:tcW w:w="1122"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Food</w:t>
            </w:r>
          </w:p>
        </w:tc>
        <w:tc>
          <w:tcPr>
            <w:tcW w:w="741"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1.18 (1.06-1.29)</w:t>
            </w:r>
          </w:p>
        </w:tc>
        <w:tc>
          <w:tcPr>
            <w:tcW w:w="718"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1247"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1.19 (1.07-1.32)</w:t>
            </w:r>
          </w:p>
        </w:tc>
        <w:tc>
          <w:tcPr>
            <w:tcW w:w="716"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741"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1.02 (0.92-1.14)</w:t>
            </w:r>
          </w:p>
        </w:tc>
        <w:tc>
          <w:tcPr>
            <w:tcW w:w="716"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0.68</w:t>
            </w:r>
          </w:p>
        </w:tc>
        <w:tc>
          <w:tcPr>
            <w:tcW w:w="741"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1.18 (1.07-1.31)</w:t>
            </w:r>
          </w:p>
        </w:tc>
        <w:tc>
          <w:tcPr>
            <w:tcW w:w="716"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1012"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1.01 (0.90-1.12)</w:t>
            </w:r>
          </w:p>
        </w:tc>
        <w:tc>
          <w:tcPr>
            <w:tcW w:w="716" w:type="dxa"/>
            <w:tcBorders>
              <w:top w:val="single" w:sz="4" w:space="0" w:color="auto"/>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0.91</w:t>
            </w:r>
          </w:p>
        </w:tc>
      </w:tr>
      <w:tr w:rsidR="00691952" w:rsidRPr="00691952" w:rsidTr="005332B7">
        <w:tc>
          <w:tcPr>
            <w:tcW w:w="112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Alcohol</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0.09 (0.02-0.53)</w:t>
            </w:r>
          </w:p>
        </w:tc>
        <w:tc>
          <w:tcPr>
            <w:tcW w:w="718"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0.01</w:t>
            </w:r>
          </w:p>
        </w:tc>
        <w:tc>
          <w:tcPr>
            <w:tcW w:w="1247"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0.12 (0.02-0.71)</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0.02</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0.21 (0.03-1.38)</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0.10</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0.11 (0.02-0.65)</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0.01</w:t>
            </w:r>
          </w:p>
        </w:tc>
        <w:tc>
          <w:tcPr>
            <w:tcW w:w="101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0.23 (0.04-1.44)</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0.11</w:t>
            </w:r>
          </w:p>
        </w:tc>
      </w:tr>
      <w:tr w:rsidR="00691952" w:rsidRPr="00691952" w:rsidTr="005332B7">
        <w:tc>
          <w:tcPr>
            <w:tcW w:w="112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Coffee</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0.72 (0.44-1.18)</w:t>
            </w:r>
          </w:p>
        </w:tc>
        <w:tc>
          <w:tcPr>
            <w:tcW w:w="718"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0.193</w:t>
            </w:r>
          </w:p>
        </w:tc>
        <w:tc>
          <w:tcPr>
            <w:tcW w:w="1247"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0.60 (0.36-1.01)</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0.06</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1.00 (0.57-1.75)</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0.10</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0.67 (0.40-1.12)</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0.13</w:t>
            </w:r>
          </w:p>
        </w:tc>
        <w:tc>
          <w:tcPr>
            <w:tcW w:w="101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1.01 (0.58-1.76)</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0.98</w:t>
            </w:r>
          </w:p>
        </w:tc>
      </w:tr>
      <w:tr w:rsidR="00691952" w:rsidRPr="00691952" w:rsidTr="005332B7">
        <w:tc>
          <w:tcPr>
            <w:tcW w:w="112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Cigarettes</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0.53 (0.40-0.71)</w:t>
            </w:r>
          </w:p>
        </w:tc>
        <w:tc>
          <w:tcPr>
            <w:tcW w:w="718"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w:t>
            </w:r>
          </w:p>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01</w:t>
            </w:r>
          </w:p>
        </w:tc>
        <w:tc>
          <w:tcPr>
            <w:tcW w:w="1247"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0.58 (0.43-0.79)</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0.53 (0.38-0.74)</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741"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0.64  (0.47-0.86)</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c>
          <w:tcPr>
            <w:tcW w:w="1012"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0.58 (0.42-0.81)</w:t>
            </w:r>
          </w:p>
        </w:tc>
        <w:tc>
          <w:tcPr>
            <w:tcW w:w="716" w:type="dxa"/>
            <w:tcBorders>
              <w:top w:val="nil"/>
              <w:left w:val="nil"/>
              <w:bottom w:val="nil"/>
              <w:right w:val="nil"/>
            </w:tcBorders>
          </w:tcPr>
          <w:p w:rsidR="00691952" w:rsidRPr="00691952" w:rsidRDefault="00691952" w:rsidP="005332B7">
            <w:pPr>
              <w:spacing w:after="160"/>
              <w:rPr>
                <w:rFonts w:ascii="Times New Roman" w:hAnsi="Times New Roman" w:cs="Times New Roman"/>
                <w:sz w:val="18"/>
                <w:szCs w:val="18"/>
              </w:rPr>
            </w:pPr>
            <w:r w:rsidRPr="00691952">
              <w:rPr>
                <w:rFonts w:ascii="Times New Roman" w:hAnsi="Times New Roman" w:cs="Times New Roman"/>
                <w:sz w:val="18"/>
                <w:szCs w:val="18"/>
              </w:rPr>
              <w:t>&lt;0.01</w:t>
            </w:r>
          </w:p>
        </w:tc>
      </w:tr>
    </w:tbl>
    <w:p w:rsidR="00691952" w:rsidRPr="00691952" w:rsidRDefault="00691952" w:rsidP="00691952">
      <w:pPr>
        <w:rPr>
          <w:sz w:val="18"/>
          <w:szCs w:val="18"/>
        </w:rPr>
      </w:pPr>
      <w:r w:rsidRPr="00691952">
        <w:rPr>
          <w:sz w:val="18"/>
          <w:szCs w:val="18"/>
          <w:vertAlign w:val="superscript"/>
        </w:rPr>
        <w:t>1</w:t>
      </w:r>
      <w:r w:rsidRPr="00691952">
        <w:rPr>
          <w:sz w:val="18"/>
          <w:szCs w:val="18"/>
        </w:rPr>
        <w:t xml:space="preserve"> adjusted model for age</w:t>
      </w:r>
    </w:p>
    <w:p w:rsidR="00691952" w:rsidRPr="00691952" w:rsidRDefault="00691952" w:rsidP="00691952">
      <w:pPr>
        <w:rPr>
          <w:sz w:val="18"/>
          <w:szCs w:val="18"/>
        </w:rPr>
      </w:pPr>
      <w:r w:rsidRPr="00691952">
        <w:rPr>
          <w:sz w:val="18"/>
          <w:szCs w:val="18"/>
          <w:vertAlign w:val="superscript"/>
        </w:rPr>
        <w:t>2</w:t>
      </w:r>
      <w:r w:rsidRPr="00691952">
        <w:rPr>
          <w:sz w:val="18"/>
          <w:szCs w:val="18"/>
        </w:rPr>
        <w:t xml:space="preserve"> adjusted model for gender</w:t>
      </w:r>
    </w:p>
    <w:p w:rsidR="00B921ED" w:rsidRDefault="00691952" w:rsidP="00691952">
      <w:r w:rsidRPr="00691952">
        <w:rPr>
          <w:sz w:val="18"/>
          <w:szCs w:val="18"/>
          <w:vertAlign w:val="superscript"/>
        </w:rPr>
        <w:t>3</w:t>
      </w:r>
      <w:r w:rsidRPr="00691952">
        <w:rPr>
          <w:sz w:val="18"/>
          <w:szCs w:val="18"/>
        </w:rPr>
        <w:t xml:space="preserve"> adjusted model for age and gender</w:t>
      </w: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F3" w:rsidRDefault="008F5DF3" w:rsidP="00F86564">
      <w:r>
        <w:separator/>
      </w:r>
    </w:p>
  </w:endnote>
  <w:endnote w:type="continuationSeparator" w:id="0">
    <w:p w:rsidR="008F5DF3" w:rsidRDefault="008F5DF3" w:rsidP="00F8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F3" w:rsidRDefault="008F5DF3" w:rsidP="00F86564">
      <w:r>
        <w:separator/>
      </w:r>
    </w:p>
  </w:footnote>
  <w:footnote w:type="continuationSeparator" w:id="0">
    <w:p w:rsidR="008F5DF3" w:rsidRDefault="008F5DF3" w:rsidP="00F8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64" w:rsidRDefault="00F86564" w:rsidP="00F86564">
    <w:pPr>
      <w:pStyle w:val="Header"/>
    </w:pPr>
    <w:r>
      <w:rPr>
        <w:rFonts w:hint="cs"/>
        <w:rtl/>
      </w:rPr>
      <w:t>1497</w:t>
    </w:r>
    <w:r>
      <w:t xml:space="preserve">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Hypertension - basic and clinical</w:t>
    </w:r>
  </w:p>
  <w:p w:rsidR="00F86564" w:rsidRDefault="00F86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91952"/>
    <w:rsid w:val="008F5DF3"/>
    <w:rsid w:val="00B921ED"/>
    <w:rsid w:val="00E97DCD"/>
    <w:rsid w:val="00F03320"/>
    <w:rsid w:val="00F86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4E731F-B98A-45ED-99E4-83BAB6F8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64"/>
    <w:pPr>
      <w:tabs>
        <w:tab w:val="center" w:pos="4680"/>
        <w:tab w:val="right" w:pos="9360"/>
      </w:tabs>
    </w:pPr>
  </w:style>
  <w:style w:type="character" w:customStyle="1" w:styleId="HeaderChar">
    <w:name w:val="Header Char"/>
    <w:basedOn w:val="DefaultParagraphFont"/>
    <w:link w:val="Header"/>
    <w:uiPriority w:val="99"/>
    <w:rsid w:val="00F86564"/>
    <w:rPr>
      <w:sz w:val="24"/>
      <w:szCs w:val="24"/>
    </w:rPr>
  </w:style>
  <w:style w:type="paragraph" w:styleId="Footer">
    <w:name w:val="footer"/>
    <w:basedOn w:val="Normal"/>
    <w:link w:val="FooterChar"/>
    <w:uiPriority w:val="99"/>
    <w:unhideWhenUsed/>
    <w:rsid w:val="00F86564"/>
    <w:pPr>
      <w:tabs>
        <w:tab w:val="center" w:pos="4680"/>
        <w:tab w:val="right" w:pos="9360"/>
      </w:tabs>
    </w:pPr>
  </w:style>
  <w:style w:type="character" w:customStyle="1" w:styleId="FooterChar">
    <w:name w:val="Footer Char"/>
    <w:basedOn w:val="DefaultParagraphFont"/>
    <w:link w:val="Footer"/>
    <w:uiPriority w:val="99"/>
    <w:rsid w:val="00F86564"/>
    <w:rPr>
      <w:sz w:val="24"/>
      <w:szCs w:val="24"/>
    </w:rPr>
  </w:style>
  <w:style w:type="character" w:customStyle="1" w:styleId="apple-converted-space">
    <w:name w:val="apple-converted-space"/>
    <w:basedOn w:val="DefaultParagraphFont"/>
    <w:rsid w:val="00F86564"/>
  </w:style>
  <w:style w:type="table" w:styleId="TableGrid">
    <w:name w:val="Table Grid"/>
    <w:basedOn w:val="TableNormal"/>
    <w:uiPriority w:val="39"/>
    <w:rsid w:val="00691952"/>
    <w:pPr>
      <w:spacing w:after="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2016-05-10T07:56:00Z</dcterms:created>
  <dcterms:modified xsi:type="dcterms:W3CDTF">2016-05-12T15:50:00Z</dcterms:modified>
</cp:coreProperties>
</file>